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BC9" w:rsidRDefault="001D0BC9">
      <w:pPr>
        <w:widowControl/>
        <w:spacing w:line="270" w:lineRule="atLeast"/>
        <w:rPr>
          <w:rFonts w:ascii="黑体" w:eastAsia="黑体" w:cs="Times New Roman"/>
          <w:sz w:val="30"/>
          <w:szCs w:val="30"/>
        </w:rPr>
      </w:pPr>
      <w:r>
        <w:rPr>
          <w:rFonts w:ascii="黑体" w:eastAsia="黑体" w:cs="黑体" w:hint="eastAsia"/>
          <w:sz w:val="30"/>
          <w:szCs w:val="30"/>
        </w:rPr>
        <w:t>附件一：</w:t>
      </w:r>
    </w:p>
    <w:p w:rsidR="001D0BC9" w:rsidRDefault="001D0BC9">
      <w:pPr>
        <w:widowControl/>
        <w:spacing w:line="270" w:lineRule="atLeast"/>
        <w:jc w:val="center"/>
        <w:rPr>
          <w:rFonts w:ascii="黑体" w:eastAsia="黑体" w:cs="Times New Roman"/>
          <w:sz w:val="30"/>
          <w:szCs w:val="30"/>
        </w:rPr>
      </w:pPr>
      <w:r>
        <w:rPr>
          <w:rFonts w:ascii="黑体" w:eastAsia="黑体" w:cs="黑体"/>
          <w:sz w:val="30"/>
          <w:szCs w:val="30"/>
        </w:rPr>
        <w:t>2015</w:t>
      </w:r>
      <w:r>
        <w:rPr>
          <w:rFonts w:ascii="黑体" w:eastAsia="黑体" w:cs="黑体" w:hint="eastAsia"/>
          <w:sz w:val="30"/>
          <w:szCs w:val="30"/>
        </w:rPr>
        <w:t>年浙江省哲学社会科学规划</w:t>
      </w:r>
    </w:p>
    <w:p w:rsidR="001D0BC9" w:rsidRDefault="001D0BC9">
      <w:pPr>
        <w:widowControl/>
        <w:spacing w:line="270" w:lineRule="atLeast"/>
        <w:rPr>
          <w:rFonts w:ascii="黑体" w:eastAsia="黑体" w:cs="Times New Roman"/>
          <w:sz w:val="30"/>
          <w:szCs w:val="30"/>
        </w:rPr>
      </w:pPr>
      <w:r>
        <w:rPr>
          <w:rFonts w:ascii="黑体" w:eastAsia="黑体" w:cs="黑体"/>
          <w:sz w:val="30"/>
          <w:szCs w:val="30"/>
        </w:rPr>
        <w:t xml:space="preserve">                 </w:t>
      </w:r>
      <w:bookmarkStart w:id="0" w:name="_GoBack"/>
      <w:bookmarkEnd w:id="0"/>
      <w:r>
        <w:rPr>
          <w:rFonts w:ascii="黑体" w:eastAsia="黑体" w:cs="黑体" w:hint="eastAsia"/>
          <w:sz w:val="30"/>
          <w:szCs w:val="30"/>
        </w:rPr>
        <w:t>对策类课题申报指南</w:t>
      </w:r>
    </w:p>
    <w:p w:rsidR="001D0BC9" w:rsidRDefault="001D0BC9">
      <w:pPr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1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、“十三五”时期浙江潜在增长率研究与对策</w:t>
      </w:r>
    </w:p>
    <w:p w:rsidR="001D0BC9" w:rsidRDefault="001D0BC9">
      <w:pPr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2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、浙江省新兴产业培育的体制机制研究</w:t>
      </w:r>
    </w:p>
    <w:p w:rsidR="001D0BC9" w:rsidRDefault="001D0BC9">
      <w:pPr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3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、浙江省要素配置市场化改革研究</w:t>
      </w:r>
    </w:p>
    <w:p w:rsidR="001D0BC9" w:rsidRDefault="001D0BC9">
      <w:pPr>
        <w:widowControl/>
        <w:shd w:val="clear" w:color="auto" w:fill="FFFFFF"/>
        <w:jc w:val="left"/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4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、新常态下浙江产业转型升级研究</w:t>
      </w:r>
    </w:p>
    <w:p w:rsidR="001D0BC9" w:rsidRDefault="001D0BC9">
      <w:pPr>
        <w:widowControl/>
        <w:shd w:val="clear" w:color="auto" w:fill="FFFFFF"/>
        <w:jc w:val="left"/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5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、浙江省全面实施创新驱动发展战略的对策建议</w:t>
      </w:r>
    </w:p>
    <w:p w:rsidR="001D0BC9" w:rsidRDefault="001D0BC9">
      <w:pPr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6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、我省四大国家战略实施评估</w:t>
      </w:r>
    </w:p>
    <w:p w:rsidR="001D0BC9" w:rsidRDefault="001D0BC9" w:rsidP="00D12C19">
      <w:pPr>
        <w:ind w:left="31680" w:hangingChars="200" w:firstLine="31680"/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7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、推进浙江全口径预决算体系建设的对策建议</w:t>
      </w:r>
    </w:p>
    <w:p w:rsidR="001D0BC9" w:rsidRDefault="001D0BC9">
      <w:pPr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8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、我省事权与支出责任相适应的财政体制研究</w:t>
      </w:r>
    </w:p>
    <w:p w:rsidR="001D0BC9" w:rsidRDefault="001D0BC9">
      <w:pPr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9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、我省政府和社会资本合作模式研究</w:t>
      </w:r>
    </w:p>
    <w:p w:rsidR="001D0BC9" w:rsidRDefault="001D0BC9">
      <w:pPr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10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、接轨上海自贸区背景下浙江开放平台建设研究</w:t>
      </w:r>
    </w:p>
    <w:p w:rsidR="001D0BC9" w:rsidRDefault="001D0BC9">
      <w:pPr>
        <w:widowControl/>
        <w:shd w:val="clear" w:color="auto" w:fill="FFFFFF"/>
        <w:jc w:val="left"/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11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、浙商回归工程的绩效与深化策略</w:t>
      </w:r>
    </w:p>
    <w:p w:rsidR="001D0BC9" w:rsidRDefault="001D0BC9">
      <w:pPr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12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、高新园区如何引领我省产业转型升级对策研究</w:t>
      </w:r>
    </w:p>
    <w:p w:rsidR="001D0BC9" w:rsidRDefault="001D0BC9">
      <w:pPr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13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、浙江参与国家“一路一带”战略构想的思路与建议</w:t>
      </w:r>
    </w:p>
    <w:p w:rsidR="001D0BC9" w:rsidRDefault="001D0BC9">
      <w:pPr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14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、浙江省新型城镇化模式创新研究</w:t>
      </w:r>
    </w:p>
    <w:p w:rsidR="001D0BC9" w:rsidRDefault="001D0BC9">
      <w:pPr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15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、“城市病”的治理研究</w:t>
      </w:r>
    </w:p>
    <w:p w:rsidR="001D0BC9" w:rsidRDefault="001D0BC9">
      <w:pPr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16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、规范发展浙江互联网金融的对策研究</w:t>
      </w:r>
    </w:p>
    <w:p w:rsidR="001D0BC9" w:rsidRDefault="001D0BC9">
      <w:pPr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17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、浙江企业融资结构优化的对策研究</w:t>
      </w:r>
    </w:p>
    <w:p w:rsidR="001D0BC9" w:rsidRDefault="001D0BC9">
      <w:pPr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18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、发展浙江非银金融业的对策研究</w:t>
      </w:r>
    </w:p>
    <w:p w:rsidR="001D0BC9" w:rsidRDefault="001D0BC9">
      <w:pPr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19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、农村产权制度改革的法理分析</w:t>
      </w:r>
    </w:p>
    <w:p w:rsidR="001D0BC9" w:rsidRDefault="001D0BC9">
      <w:pPr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20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、重构农村合作金融体系的对策研究</w:t>
      </w:r>
    </w:p>
    <w:p w:rsidR="001D0BC9" w:rsidRDefault="001D0BC9" w:rsidP="00D12C19">
      <w:pPr>
        <w:ind w:left="31680" w:hangingChars="200" w:firstLine="31680"/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21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、浙江省机器换人的创新支撑、路径选择和绩效评估体系研究</w:t>
      </w:r>
    </w:p>
    <w:p w:rsidR="001D0BC9" w:rsidRDefault="001D0BC9" w:rsidP="00D12C19">
      <w:pPr>
        <w:ind w:left="31680" w:hangingChars="200" w:firstLine="31680"/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22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、打造浙江外贸出口竞争新优势的对策研究</w:t>
      </w:r>
    </w:p>
    <w:p w:rsidR="001D0BC9" w:rsidRDefault="001D0BC9">
      <w:pPr>
        <w:widowControl/>
        <w:shd w:val="clear" w:color="auto" w:fill="FFFFFF"/>
        <w:jc w:val="left"/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23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、电子商务对我省外贸转型升级的作用与推进路径</w:t>
      </w:r>
    </w:p>
    <w:p w:rsidR="001D0BC9" w:rsidRDefault="001D0BC9">
      <w:pPr>
        <w:widowControl/>
        <w:shd w:val="clear" w:color="auto" w:fill="FFFFFF"/>
        <w:jc w:val="left"/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24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、贯彻十八届四中全会精神推进法治浙江建设的路径研究</w:t>
      </w:r>
    </w:p>
    <w:p w:rsidR="001D0BC9" w:rsidRDefault="001D0BC9" w:rsidP="00D12C19">
      <w:pPr>
        <w:widowControl/>
        <w:shd w:val="clear" w:color="auto" w:fill="FFFFFF"/>
        <w:ind w:left="31680" w:hangingChars="150" w:firstLine="31680"/>
        <w:jc w:val="left"/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25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、浙江法治政府建设研究</w:t>
      </w:r>
    </w:p>
    <w:p w:rsidR="001D0BC9" w:rsidRDefault="001D0BC9">
      <w:pPr>
        <w:widowControl/>
        <w:shd w:val="clear" w:color="auto" w:fill="FFFFFF"/>
        <w:jc w:val="left"/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26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、司法公开在浙江的实践和公正司法的体制机制研究</w:t>
      </w:r>
    </w:p>
    <w:p w:rsidR="001D0BC9" w:rsidRDefault="001D0BC9">
      <w:pPr>
        <w:widowControl/>
        <w:shd w:val="clear" w:color="auto" w:fill="FFFFFF"/>
        <w:jc w:val="left"/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27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、我省地方法规的立改废释研究</w:t>
      </w:r>
    </w:p>
    <w:p w:rsidR="001D0BC9" w:rsidRDefault="001D0BC9">
      <w:pPr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28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、法治社会建设与普法绩效评估研究</w:t>
      </w:r>
    </w:p>
    <w:p w:rsidR="001D0BC9" w:rsidRDefault="001D0BC9">
      <w:pPr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29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、权力清单制度在浙江的探索实践与深化对策</w:t>
      </w:r>
    </w:p>
    <w:p w:rsidR="001D0BC9" w:rsidRDefault="001D0BC9">
      <w:pPr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30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、改善政治生态，健全从严管理干部制度研究</w:t>
      </w:r>
    </w:p>
    <w:p w:rsidR="001D0BC9" w:rsidRDefault="001D0BC9" w:rsidP="00D12C19">
      <w:pPr>
        <w:shd w:val="clear" w:color="auto" w:fill="FFFFFF"/>
        <w:ind w:left="31680" w:hangingChars="200" w:firstLine="31680"/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31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、构建党员干部“不想腐、不能腐、不敢腐”有效</w:t>
      </w:r>
      <w:r>
        <w:rPr>
          <w:rFonts w:ascii="仿宋_GB2312" w:eastAsia="仿宋_GB2312" w:hAnsi="仿宋_GB2312" w:cs="仿宋_GB2312"/>
          <w:color w:val="000000"/>
          <w:sz w:val="28"/>
          <w:szCs w:val="28"/>
        </w:rPr>
        <w:t xml:space="preserve"> 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机制研究</w:t>
      </w:r>
    </w:p>
    <w:p w:rsidR="001D0BC9" w:rsidRDefault="001D0BC9">
      <w:pPr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32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、建设“两富”“两美”现代化浙江的文化软实力支撑研究</w:t>
      </w:r>
    </w:p>
    <w:p w:rsidR="001D0BC9" w:rsidRDefault="001D0BC9">
      <w:pPr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33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、优化和提升我省文化产业发展层次和水平研究</w:t>
      </w:r>
    </w:p>
    <w:p w:rsidR="001D0BC9" w:rsidRDefault="001D0BC9" w:rsidP="00D12C19">
      <w:pPr>
        <w:ind w:left="31680" w:hangingChars="150" w:firstLine="31680"/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34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、我省传统媒体与新兴媒体深度融合的模式、路径与策略</w:t>
      </w:r>
    </w:p>
    <w:p w:rsidR="001D0BC9" w:rsidRDefault="001D0BC9">
      <w:pPr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35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、浙江政府购买服务问题研究</w:t>
      </w:r>
    </w:p>
    <w:p w:rsidR="001D0BC9" w:rsidRDefault="001D0BC9">
      <w:pPr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36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、浙江省基本公共服务满意度评估及提升策略研究</w:t>
      </w:r>
    </w:p>
    <w:p w:rsidR="001D0BC9" w:rsidRDefault="001D0BC9">
      <w:pPr>
        <w:widowControl/>
        <w:shd w:val="clear" w:color="auto" w:fill="FFFFFF"/>
        <w:jc w:val="left"/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37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、用法治思维、法治方式推进我省社会治理创新研究</w:t>
      </w:r>
    </w:p>
    <w:p w:rsidR="001D0BC9" w:rsidRDefault="001D0BC9">
      <w:pPr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38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、镇改市的经济社会管理体制研究</w:t>
      </w:r>
    </w:p>
    <w:p w:rsidR="001D0BC9" w:rsidRDefault="001D0BC9">
      <w:pPr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39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、我省人才为创新驱动发展服务研究与对策</w:t>
      </w:r>
    </w:p>
    <w:p w:rsidR="001D0BC9" w:rsidRDefault="001D0BC9" w:rsidP="00D12C19">
      <w:pPr>
        <w:widowControl/>
        <w:shd w:val="clear" w:color="auto" w:fill="FFFFFF"/>
        <w:adjustRightInd w:val="0"/>
        <w:snapToGrid w:val="0"/>
        <w:spacing w:before="100" w:beforeAutospacing="1" w:after="100" w:afterAutospacing="1"/>
        <w:ind w:left="31680" w:hangingChars="150" w:firstLine="31680"/>
        <w:jc w:val="left"/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40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、浙江各类人才引进、培养、流动、激励体制机制研究</w:t>
      </w:r>
    </w:p>
    <w:p w:rsidR="001D0BC9" w:rsidRDefault="001D0BC9" w:rsidP="00D12C19">
      <w:pPr>
        <w:widowControl/>
        <w:shd w:val="clear" w:color="auto" w:fill="FFFFFF"/>
        <w:adjustRightInd w:val="0"/>
        <w:snapToGrid w:val="0"/>
        <w:spacing w:before="100" w:beforeAutospacing="1" w:after="100" w:afterAutospacing="1"/>
        <w:ind w:left="31680" w:hangingChars="150" w:firstLine="31680"/>
        <w:jc w:val="left"/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41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、浙江企业劳动力成本及就业质量的综合评价研究</w:t>
      </w:r>
    </w:p>
    <w:p w:rsidR="001D0BC9" w:rsidRDefault="001D0BC9" w:rsidP="00D12C19">
      <w:pPr>
        <w:adjustRightInd w:val="0"/>
        <w:snapToGrid w:val="0"/>
        <w:spacing w:before="100" w:beforeAutospacing="1" w:after="100" w:afterAutospacing="1"/>
        <w:ind w:left="31680" w:hangingChars="200" w:firstLine="31680"/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42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、我省商业保险参与社会保障体系建设研究</w:t>
      </w:r>
    </w:p>
    <w:p w:rsidR="001D0BC9" w:rsidRDefault="001D0BC9" w:rsidP="00D12C19">
      <w:pPr>
        <w:widowControl/>
        <w:shd w:val="clear" w:color="auto" w:fill="FFFFFF"/>
        <w:adjustRightInd w:val="0"/>
        <w:snapToGrid w:val="0"/>
        <w:spacing w:before="100" w:beforeAutospacing="1" w:after="100" w:afterAutospacing="1"/>
        <w:ind w:left="31680" w:hangingChars="150" w:firstLine="31680"/>
        <w:jc w:val="left"/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43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、我省医疗服务体系分级诊治与有序就医的机制研究</w:t>
      </w:r>
    </w:p>
    <w:p w:rsidR="001D0BC9" w:rsidRDefault="001D0BC9" w:rsidP="00D12C19">
      <w:pPr>
        <w:widowControl/>
        <w:shd w:val="clear" w:color="auto" w:fill="FFFFFF"/>
        <w:ind w:left="31680" w:hangingChars="200" w:firstLine="31680"/>
        <w:jc w:val="left"/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44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、我省加快实施城乡居民基本医疗保险制度整合研究</w:t>
      </w:r>
    </w:p>
    <w:p w:rsidR="001D0BC9" w:rsidRDefault="001D0BC9" w:rsidP="00D12C19">
      <w:pPr>
        <w:widowControl/>
        <w:shd w:val="clear" w:color="auto" w:fill="FFFFFF"/>
        <w:ind w:left="31680" w:hangingChars="200" w:firstLine="31680"/>
        <w:jc w:val="left"/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45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、促进我省社会组织健康发展和作用发挥的路径研究</w:t>
      </w:r>
    </w:p>
    <w:p w:rsidR="001D0BC9" w:rsidRDefault="001D0BC9" w:rsidP="00D12C19">
      <w:pPr>
        <w:widowControl/>
        <w:shd w:val="clear" w:color="auto" w:fill="FFFFFF"/>
        <w:ind w:left="31680" w:hangingChars="200" w:firstLine="31680"/>
        <w:jc w:val="left"/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46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、构建“五水共治”长效机制的基本思路</w:t>
      </w:r>
    </w:p>
    <w:p w:rsidR="001D0BC9" w:rsidRDefault="001D0BC9">
      <w:pPr>
        <w:shd w:val="clear" w:color="auto" w:fill="FFFFFF"/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47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、五水共治、三改一拆与转型升级倒逼机制研究</w:t>
      </w:r>
    </w:p>
    <w:p w:rsidR="001D0BC9" w:rsidRDefault="001D0BC9">
      <w:pPr>
        <w:widowControl/>
        <w:shd w:val="clear" w:color="auto" w:fill="FFFFFF"/>
        <w:jc w:val="left"/>
        <w:rPr>
          <w:rFonts w:ascii="仿宋_GB2312" w:eastAsia="仿宋_GB2312" w:hAnsi="仿宋_GB2312" w:cs="Times New Roman"/>
          <w:color w:val="000000"/>
          <w:sz w:val="28"/>
          <w:szCs w:val="28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t>48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、实现绿色价值的主要障碍及其解决途径</w:t>
      </w:r>
    </w:p>
    <w:p w:rsidR="001D0BC9" w:rsidRDefault="001D0BC9">
      <w:pPr>
        <w:shd w:val="clear" w:color="auto" w:fill="FFFFFF"/>
        <w:rPr>
          <w:rFonts w:ascii="仿宋_GB2312" w:eastAsia="仿宋_GB2312" w:hAnsi="仿宋_GB2312" w:cs="Times New Roman"/>
          <w:color w:val="000000"/>
          <w:sz w:val="28"/>
          <w:szCs w:val="28"/>
        </w:rPr>
      </w:pPr>
    </w:p>
    <w:p w:rsidR="001D0BC9" w:rsidRDefault="001D0BC9">
      <w:pPr>
        <w:adjustRightInd w:val="0"/>
        <w:snapToGrid w:val="0"/>
        <w:spacing w:before="100" w:beforeAutospacing="1" w:after="100" w:afterAutospacing="1"/>
        <w:rPr>
          <w:rFonts w:ascii="仿宋_GB2312" w:eastAsia="仿宋_GB2312" w:hAnsi="仿宋_GB2312" w:cs="Times New Roman"/>
          <w:color w:val="000000"/>
          <w:sz w:val="28"/>
          <w:szCs w:val="28"/>
        </w:rPr>
      </w:pPr>
    </w:p>
    <w:p w:rsidR="001D0BC9" w:rsidRDefault="001D0BC9" w:rsidP="00D12C19">
      <w:pPr>
        <w:shd w:val="clear" w:color="auto" w:fill="FFFFFF"/>
        <w:adjustRightInd w:val="0"/>
        <w:spacing w:before="100" w:beforeAutospacing="1" w:after="100" w:afterAutospacing="1"/>
        <w:ind w:left="31680" w:hangingChars="150" w:firstLine="31680"/>
        <w:rPr>
          <w:rFonts w:ascii="楷体_GB2312" w:eastAsia="楷体_GB2312" w:hAnsi="Arial" w:cs="Times New Roman"/>
          <w:color w:val="000000"/>
          <w:kern w:val="0"/>
          <w:sz w:val="32"/>
          <w:szCs w:val="32"/>
          <w:highlight w:val="yellow"/>
        </w:rPr>
      </w:pPr>
    </w:p>
    <w:p w:rsidR="001D0BC9" w:rsidRDefault="001D0BC9">
      <w:pPr>
        <w:rPr>
          <w:rFonts w:cs="Times New Roman"/>
          <w:color w:val="000000"/>
          <w:sz w:val="32"/>
          <w:szCs w:val="32"/>
        </w:rPr>
      </w:pPr>
    </w:p>
    <w:p w:rsidR="001D0BC9" w:rsidRDefault="001D0BC9">
      <w:pPr>
        <w:rPr>
          <w:rFonts w:cs="Times New Roman"/>
          <w:color w:val="000000"/>
          <w:sz w:val="32"/>
          <w:szCs w:val="32"/>
        </w:rPr>
      </w:pPr>
    </w:p>
    <w:p w:rsidR="001D0BC9" w:rsidRDefault="001D0BC9">
      <w:pPr>
        <w:rPr>
          <w:rFonts w:cs="Times New Roman"/>
        </w:rPr>
      </w:pPr>
    </w:p>
    <w:sectPr w:rsidR="001D0BC9" w:rsidSect="007E1398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0BC9" w:rsidRDefault="001D0BC9" w:rsidP="007E1398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1D0BC9" w:rsidRDefault="001D0BC9" w:rsidP="007E1398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es New Roma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黑体">
    <w:altName w:val="um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BC9" w:rsidRDefault="001D0BC9">
    <w:pPr>
      <w:pStyle w:val="Footer"/>
      <w:jc w:val="center"/>
      <w:rPr>
        <w:rFonts w:cs="Times New Roman"/>
      </w:rPr>
    </w:pPr>
    <w:fldSimple w:instr="PAGE   \* MERGEFORMAT">
      <w:r>
        <w:rPr>
          <w:noProof/>
        </w:rPr>
        <w:t>1</w:t>
      </w:r>
    </w:fldSimple>
  </w:p>
  <w:p w:rsidR="001D0BC9" w:rsidRDefault="001D0BC9">
    <w:pPr>
      <w:pStyle w:val="Footer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0BC9" w:rsidRDefault="001D0BC9" w:rsidP="007E1398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1D0BC9" w:rsidRDefault="001D0BC9" w:rsidP="007E1398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BC9" w:rsidRDefault="001D0BC9">
    <w:pPr>
      <w:rPr>
        <w:rFonts w:cs="Times New Roman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420"/>
  <w:doNotHyphenateCaps/>
  <w:drawingGridHorizontalSpacing w:val="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2A27"/>
    <w:rsid w:val="00172A27"/>
    <w:rsid w:val="001D0BC9"/>
    <w:rsid w:val="00242E4B"/>
    <w:rsid w:val="007E1398"/>
    <w:rsid w:val="00B451E1"/>
    <w:rsid w:val="00D12C19"/>
    <w:rsid w:val="0B070E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uiPriority="0" w:unhideWhenUsed="1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locked="1" w:semiHidden="0" w:uiPriority="0"/>
    <w:lsdException w:name="footer" w:locked="1" w:semiHidden="0" w:uiPriority="0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locked="1" w:semiHidden="0" w:uiPriority="0"/>
    <w:lsdException w:name="HTML Bottom of Form" w:locked="1" w:semiHidden="0" w:uiPriority="0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locked="1" w:semiHidden="0" w:uiPriority="0"/>
    <w:lsdException w:name="Outline List 1" w:locked="1" w:semiHidden="0" w:uiPriority="0"/>
    <w:lsdException w:name="Outline List 2" w:locked="1" w:semiHidden="0" w:uiPriority="0"/>
    <w:lsdException w:name="Outline List 3" w:locked="1" w:semiHidden="0" w:uiPriority="0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7E1398"/>
    <w:pPr>
      <w:widowControl w:val="0"/>
      <w:jc w:val="both"/>
    </w:pPr>
    <w:rPr>
      <w:rFonts w:ascii="Calibri" w:hAnsi="Calibri"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E13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7E1398"/>
    <w:rPr>
      <w:sz w:val="18"/>
      <w:szCs w:val="18"/>
    </w:rPr>
  </w:style>
  <w:style w:type="paragraph" w:styleId="Header">
    <w:name w:val="header"/>
    <w:basedOn w:val="Normal"/>
    <w:link w:val="HeaderChar"/>
    <w:uiPriority w:val="99"/>
    <w:rsid w:val="007E13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E1398"/>
    <w:rPr>
      <w:sz w:val="18"/>
      <w:szCs w:val="18"/>
    </w:rPr>
  </w:style>
  <w:style w:type="paragraph" w:customStyle="1" w:styleId="ListParagraph1">
    <w:name w:val="List Paragraph1"/>
    <w:basedOn w:val="Normal"/>
    <w:uiPriority w:val="99"/>
    <w:rsid w:val="007E1398"/>
    <w:pPr>
      <w:ind w:left="420"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3</Pages>
  <Words>165</Words>
  <Characters>945</Characters>
  <Application>Microsoft Office Outlook</Application>
  <DocSecurity>0</DocSecurity>
  <Lines>0</Lines>
  <Paragraphs>0</Paragraphs>
  <ScaleCrop>false</ScaleCrop>
  <Company>http://www.hao251.com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2015年浙江省哲学社会科学规划</dc:title>
  <dc:subject/>
  <dc:creator>电脑城装机专用绿色版</dc:creator>
  <cp:keywords/>
  <dc:description/>
  <cp:lastModifiedBy>周美琼</cp:lastModifiedBy>
  <cp:revision>2</cp:revision>
  <cp:lastPrinted>2014-11-05T02:15:00Z</cp:lastPrinted>
  <dcterms:created xsi:type="dcterms:W3CDTF">2015-07-10T05:25:00Z</dcterms:created>
  <dcterms:modified xsi:type="dcterms:W3CDTF">2015-07-10T05:25:00Z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2052-9.1.0.4867</vt:lpwstr>
  </property>
</Properties>
</file>